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67" w:rsidRDefault="00F5345F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</w:p>
    <w:p w:rsidR="00133867" w:rsidRDefault="00F5345F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о тарифах и плате за коммунальные</w:t>
      </w:r>
    </w:p>
    <w:p w:rsidR="00133867" w:rsidRDefault="00F5345F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>
        <w:rPr>
          <w:rStyle w:val="titlerazdel"/>
          <w:rFonts w:eastAsiaTheme="majorEastAsia"/>
          <w:b/>
          <w:sz w:val="26"/>
          <w:szCs w:val="26"/>
        </w:rPr>
        <w:t>на 2025 год</w:t>
      </w:r>
    </w:p>
    <w:p w:rsidR="00133867" w:rsidRDefault="00133867">
      <w:pPr>
        <w:spacing w:line="276" w:lineRule="auto"/>
        <w:ind w:right="-142"/>
        <w:jc w:val="center"/>
        <w:rPr>
          <w:sz w:val="26"/>
          <w:szCs w:val="26"/>
        </w:rPr>
      </w:pPr>
    </w:p>
    <w:p w:rsidR="00133867" w:rsidRDefault="00F5345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На территории Ханты-Мансийского автономного округа – Югры завершена тарифная кампания по установлению тарифов на коммунальные услуги на 2025 год в сферах теплоснабжения, водоснабжения, водоотведения, электроснабжения, газоснабжения, обращения с твердыми коммунальными отходами (далее – коммунальные услуги).</w:t>
      </w:r>
    </w:p>
    <w:p w:rsidR="00133867" w:rsidRDefault="00F5345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С 1 января по 30 июня 2025 года тарифы приняты на уровне декабря 2024 года. </w:t>
      </w:r>
    </w:p>
    <w:p w:rsidR="00133867" w:rsidRDefault="00F5345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Плановое увеличение тарифов произойдет с 1 июля 2025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по Югре и Губернатором Ханты-Мансийского авт</w:t>
      </w:r>
      <w:r>
        <w:rPr>
          <w:color w:val="000000" w:themeColor="text1"/>
          <w:sz w:val="26"/>
          <w:szCs w:val="26"/>
        </w:rPr>
        <w:t>ономного округа – Югры по муниципальным образованиям,</w:t>
      </w:r>
      <w:r>
        <w:rPr>
          <w:bCs/>
          <w:color w:val="000000" w:themeColor="text1"/>
          <w:sz w:val="26"/>
          <w:szCs w:val="26"/>
        </w:rPr>
        <w:t xml:space="preserve"> с учетом параметров Прогноза социально-экономического развития </w:t>
      </w:r>
      <w:r>
        <w:rPr>
          <w:color w:val="000000" w:themeColor="text1"/>
          <w:sz w:val="26"/>
          <w:szCs w:val="26"/>
        </w:rPr>
        <w:t xml:space="preserve">РФ на 2025 год и последующие периоды 2026-2027 годов, одобренного Правительством </w:t>
      </w:r>
      <w:r>
        <w:rPr>
          <w:sz w:val="26"/>
          <w:szCs w:val="26"/>
        </w:rPr>
        <w:t>РФ 24.09.2024.</w:t>
      </w:r>
    </w:p>
    <w:p w:rsidR="00133867" w:rsidRDefault="00F5345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Распоряжением Правительства РФ </w:t>
      </w:r>
      <w:r>
        <w:rPr>
          <w:bCs/>
          <w:sz w:val="26"/>
          <w:szCs w:val="26"/>
        </w:rPr>
        <w:t xml:space="preserve">№ 3287-р от 15.11.2024 </w:t>
      </w:r>
      <w:r>
        <w:rPr>
          <w:color w:val="000000" w:themeColor="text1"/>
          <w:sz w:val="26"/>
          <w:szCs w:val="26"/>
        </w:rPr>
        <w:t>утверждены индексы изменения размера вносимой гражданами платы за коммунальные услуги в среднем по Югре на 2025 год с 1 января – 0%, с 1 июля – 9,0% и предельно допустимое отклонение по отдельным муниципальным образованиям от величины указанного индекса с 1 января – 0%, с 1 июля – 2,1%, с учетом которого предельные (максимальные) индексы изменения размера вносимой гражданами платы за коммунальные услуги в муниципальных образованиях автономного округа с 1 июля 2025 (далее – предельные индексы) не должны превышать 11,1%.</w:t>
      </w:r>
    </w:p>
    <w:p w:rsidR="00133867" w:rsidRDefault="00F5345F">
      <w:pPr>
        <w:spacing w:line="276" w:lineRule="auto"/>
        <w:ind w:firstLine="851"/>
        <w:jc w:val="both"/>
        <w:rPr>
          <w:bCs/>
          <w:color w:val="000000" w:themeColor="text1"/>
          <w:sz w:val="26"/>
          <w:szCs w:val="26"/>
          <w:highlight w:val="yellow"/>
          <w:u w:val="single"/>
        </w:rPr>
      </w:pPr>
      <w:r>
        <w:rPr>
          <w:bCs/>
          <w:color w:val="000000" w:themeColor="text1"/>
          <w:sz w:val="26"/>
          <w:szCs w:val="26"/>
        </w:rPr>
        <w:t>В соответствии с указанным решением, принятым на федеральном уровне, постановлением Губернатора автономного округа от 11.12.2023 № 185   (в ред. от 11.12.2024 № 135) по всем муниципальным образованиям автономного округа утверждены предельные индексы на 2025 год: с 1 января – 0%,                   с 1 июля – 9,0% (</w:t>
      </w:r>
      <w:hyperlink r:id="rId8" w:tooltip="https://admhmao.ru/dokumenty/pravovye-akty-gubernatora/postanovleniya/10877131/" w:history="1">
        <w:r>
          <w:rPr>
            <w:rStyle w:val="af5"/>
            <w:bCs/>
            <w:sz w:val="26"/>
            <w:szCs w:val="26"/>
          </w:rPr>
          <w:t>https://admhmao.ru/dokumenty/pravovye-akty-gubernatora/postanovleniya/10877131/</w:t>
        </w:r>
      </w:hyperlink>
      <w:r>
        <w:rPr>
          <w:bCs/>
          <w:color w:val="000000" w:themeColor="text1"/>
          <w:sz w:val="26"/>
          <w:szCs w:val="26"/>
          <w:u w:val="single"/>
        </w:rPr>
        <w:t>).</w:t>
      </w:r>
    </w:p>
    <w:p w:rsidR="00133867" w:rsidRDefault="00F5345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133867" w:rsidRDefault="00F5345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:rsidR="00133867" w:rsidRDefault="00F5345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133867" w:rsidRDefault="00F5345F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индексов (инфляции) по другим коммунальным услугам, входящим в состав платы за коммунальные услуги.</w:t>
      </w:r>
    </w:p>
    <w:p w:rsidR="00133867" w:rsidRDefault="00F5345F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</w:p>
    <w:p w:rsidR="00133867" w:rsidRDefault="00F5345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:rsidR="00133867" w:rsidRDefault="00F5345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Для соблюдения законодательства об ограничении роста платы граждан за коммунальные услуги для населения могут применятся тарифы с учетом уровня платы в размере ниже экономически обоснованных тарифов, установленных РСТ Югры, с компенсацией разницы ресурсоснабжающим организациям из бюджетной системы муниципального образования или субъекта РФ.</w:t>
      </w:r>
    </w:p>
    <w:p w:rsidR="00133867" w:rsidRDefault="00F5345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Контроль за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:rsidR="00133867" w:rsidRDefault="00F5345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>
        <w:rPr>
          <w:sz w:val="26"/>
          <w:szCs w:val="26"/>
        </w:rPr>
        <w:t>(</w:t>
      </w:r>
      <w:hyperlink r:id="rId9" w:tooltip="http://bptr.eias.admhmao.ru/TariffDecisions?reg=RU.5.86" w:history="1">
        <w:r>
          <w:rPr>
            <w:sz w:val="26"/>
            <w:szCs w:val="26"/>
          </w:rPr>
          <w:t>http://bptr.eias.admhmao.ru/TariffDecisions?reg=RU.5.86/</w:t>
        </w:r>
      </w:hyperlink>
      <w:r>
        <w:rPr>
          <w:sz w:val="26"/>
          <w:szCs w:val="26"/>
        </w:rPr>
        <w:t xml:space="preserve">) </w:t>
      </w:r>
      <w:r>
        <w:rPr>
          <w:rFonts w:eastAsia="Calibri"/>
          <w:sz w:val="26"/>
          <w:szCs w:val="26"/>
        </w:rPr>
        <w:t>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>
        <w:rPr>
          <w:sz w:val="26"/>
          <w:szCs w:val="26"/>
        </w:rPr>
        <w:t>/ «Газовая отрасль» (</w:t>
      </w:r>
      <w:hyperlink r:id="rId10" w:tooltip="https://rst.admhmao.ru/dokumenty/" w:history="1">
        <w:r>
          <w:rPr>
            <w:rStyle w:val="af5"/>
            <w:color w:val="auto"/>
            <w:sz w:val="26"/>
            <w:szCs w:val="26"/>
            <w:u w:val="none"/>
          </w:rPr>
          <w:t>https://rst.admhmao.ru/dokumenty/</w:t>
        </w:r>
      </w:hyperlink>
      <w:r>
        <w:rPr>
          <w:sz w:val="26"/>
          <w:szCs w:val="26"/>
        </w:rPr>
        <w:t>).</w:t>
      </w:r>
    </w:p>
    <w:p w:rsidR="00133867" w:rsidRDefault="00F5345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 xml:space="preserve">На сайте </w:t>
      </w:r>
      <w:r>
        <w:rPr>
          <w:color w:val="000000" w:themeColor="text1"/>
          <w:sz w:val="26"/>
          <w:szCs w:val="26"/>
        </w:rPr>
        <w:t xml:space="preserve">регионального оператора по обращению с твердыми коммунальными отходами АО «Югра-Экология» </w:t>
      </w:r>
      <w:r>
        <w:rPr>
          <w:rFonts w:eastAsia="Arial Unicode MS"/>
          <w:color w:val="000000" w:themeColor="text1"/>
          <w:sz w:val="26"/>
          <w:szCs w:val="26"/>
        </w:rPr>
        <w:t xml:space="preserve">установлена программа для </w:t>
      </w:r>
      <w:r>
        <w:rPr>
          <w:rFonts w:eastAsia="Arial Unicode MS"/>
          <w:color w:val="000000" w:themeColor="text1"/>
          <w:sz w:val="26"/>
          <w:szCs w:val="26"/>
        </w:rPr>
        <w:lastRenderedPageBreak/>
        <w:t>расчета платежа за услугу «Обращение с ТКО» (</w:t>
      </w:r>
      <w:hyperlink r:id="rId11" w:tooltip="https://www.yugra-ecology.ru/calculator" w:history="1">
        <w:r>
          <w:rPr>
            <w:rStyle w:val="af5"/>
            <w:rFonts w:eastAsia="Arial Unicode MS"/>
            <w:color w:val="000000" w:themeColor="text1"/>
            <w:sz w:val="26"/>
            <w:szCs w:val="26"/>
            <w:u w:val="none"/>
          </w:rPr>
          <w:t>https://www.yugra-ecology.ru/calculator</w:t>
        </w:r>
      </w:hyperlink>
      <w:r>
        <w:rPr>
          <w:rFonts w:eastAsia="Arial Unicode MS"/>
          <w:color w:val="000000" w:themeColor="text1"/>
          <w:sz w:val="26"/>
          <w:szCs w:val="26"/>
        </w:rPr>
        <w:t>).</w:t>
      </w:r>
    </w:p>
    <w:p w:rsidR="00133867" w:rsidRDefault="00F5345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Информация об установленных тарифах на электрическую энергию для населения размещена на сайте РЭК (</w:t>
      </w:r>
      <w:hyperlink r:id="rId12" w:tooltip="https://rec.admtyumen.ru/" w:history="1">
        <w:r>
          <w:rPr>
            <w:rStyle w:val="16"/>
            <w:rFonts w:eastAsia="Arial Unicode MS"/>
            <w:color w:val="auto"/>
            <w:sz w:val="26"/>
            <w:szCs w:val="26"/>
            <w:u w:val="none"/>
          </w:rPr>
          <w:t>https://rec.admtyumen.ru/</w:t>
        </w:r>
      </w:hyperlink>
      <w:r>
        <w:rPr>
          <w:rFonts w:eastAsia="Arial Unicode MS"/>
          <w:sz w:val="26"/>
          <w:szCs w:val="26"/>
        </w:rPr>
        <w:t>)  на главной странице «Деятельность», раздел «Нормативные правовые и ненормативные правовые акты».</w:t>
      </w:r>
    </w:p>
    <w:p w:rsidR="00133867" w:rsidRDefault="00F5345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Контроль за правильностью установления размера платы за содержание и ремонт жилого помещения, определения размера и внесен</w:t>
      </w:r>
      <w:r>
        <w:rPr>
          <w:color w:val="000000" w:themeColor="text1"/>
          <w:sz w:val="26"/>
          <w:szCs w:val="26"/>
        </w:rPr>
        <w:t xml:space="preserve">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3" w:tooltip="http://www.jsn.admhmao.ru/" w:history="1">
        <w:r>
          <w:rPr>
            <w:rStyle w:val="af5"/>
            <w:color w:val="000000" w:themeColor="text1"/>
            <w:sz w:val="26"/>
            <w:szCs w:val="26"/>
          </w:rPr>
          <w:t>https://jsn.admhmao.ru/.</w:t>
        </w:r>
      </w:hyperlink>
    </w:p>
    <w:p w:rsidR="00133867" w:rsidRDefault="00F5345F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14" w:tooltip="https://ds.admhmao.ru/" w:history="1">
        <w:r>
          <w:rPr>
            <w:rStyle w:val="af5"/>
            <w:color w:val="000000" w:themeColor="text1"/>
            <w:sz w:val="26"/>
            <w:szCs w:val="26"/>
          </w:rPr>
          <w:t>https://ds.admhmao.ru/</w:t>
        </w:r>
      </w:hyperlink>
      <w:r>
        <w:rPr>
          <w:rFonts w:eastAsia="Calibri"/>
          <w:sz w:val="26"/>
          <w:szCs w:val="26"/>
        </w:rPr>
        <w:t>.</w:t>
      </w:r>
    </w:p>
    <w:p w:rsidR="00133867" w:rsidRDefault="00F5345F">
      <w:pPr>
        <w:spacing w:line="276" w:lineRule="auto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</w:t>
      </w:r>
      <w:r>
        <w:rPr>
          <w:rStyle w:val="af5"/>
          <w:color w:val="000000" w:themeColor="text1"/>
          <w:sz w:val="26"/>
          <w:szCs w:val="26"/>
        </w:rPr>
        <w:t xml:space="preserve"> </w:t>
      </w:r>
      <w:hyperlink r:id="rId15" w:tooltip="https://depprom.admhmao.ru/" w:history="1">
        <w:r>
          <w:rPr>
            <w:rStyle w:val="af5"/>
            <w:sz w:val="26"/>
            <w:szCs w:val="26"/>
          </w:rPr>
          <w:t>https://depprom.admhmao.ru/</w:t>
        </w:r>
      </w:hyperlink>
      <w:r>
        <w:rPr>
          <w:rStyle w:val="af5"/>
          <w:color w:val="000000" w:themeColor="text1"/>
          <w:sz w:val="26"/>
          <w:szCs w:val="26"/>
        </w:rPr>
        <w:t>.</w:t>
      </w:r>
    </w:p>
    <w:p w:rsidR="00133867" w:rsidRDefault="00133867">
      <w:pPr>
        <w:rPr>
          <w:sz w:val="26"/>
          <w:szCs w:val="26"/>
        </w:rPr>
      </w:pPr>
    </w:p>
    <w:p w:rsidR="00133867" w:rsidRDefault="00133867">
      <w:pPr>
        <w:rPr>
          <w:sz w:val="28"/>
          <w:szCs w:val="28"/>
        </w:rPr>
      </w:pPr>
    </w:p>
    <w:p w:rsidR="00133867" w:rsidRDefault="00133867">
      <w:pPr>
        <w:rPr>
          <w:sz w:val="28"/>
          <w:szCs w:val="28"/>
        </w:rPr>
      </w:pPr>
    </w:p>
    <w:p w:rsidR="00133867" w:rsidRDefault="00133867">
      <w:pPr>
        <w:rPr>
          <w:sz w:val="28"/>
          <w:szCs w:val="28"/>
        </w:rPr>
      </w:pPr>
    </w:p>
    <w:p w:rsidR="00133867" w:rsidRDefault="00133867">
      <w:pPr>
        <w:rPr>
          <w:sz w:val="28"/>
          <w:szCs w:val="28"/>
        </w:rPr>
      </w:pPr>
    </w:p>
    <w:p w:rsidR="00133867" w:rsidRDefault="00133867">
      <w:pPr>
        <w:rPr>
          <w:sz w:val="28"/>
          <w:szCs w:val="28"/>
        </w:rPr>
      </w:pPr>
    </w:p>
    <w:p w:rsidR="00133867" w:rsidRDefault="00133867">
      <w:pPr>
        <w:rPr>
          <w:sz w:val="28"/>
          <w:szCs w:val="28"/>
        </w:rPr>
      </w:pPr>
    </w:p>
    <w:p w:rsidR="00133867" w:rsidRDefault="00133867">
      <w:pPr>
        <w:rPr>
          <w:sz w:val="28"/>
          <w:szCs w:val="28"/>
        </w:rPr>
      </w:pPr>
    </w:p>
    <w:p w:rsidR="00F368D8" w:rsidRDefault="00F368D8" w:rsidP="00F368D8">
      <w:pPr>
        <w:rPr>
          <w:sz w:val="26"/>
          <w:szCs w:val="26"/>
        </w:rPr>
      </w:pPr>
      <w:r>
        <w:rPr>
          <w:sz w:val="26"/>
          <w:szCs w:val="26"/>
        </w:rPr>
        <w:t xml:space="preserve">Информация подготовлена </w:t>
      </w:r>
    </w:p>
    <w:p w:rsidR="00F368D8" w:rsidRDefault="00F368D8" w:rsidP="00F368D8">
      <w:pPr>
        <w:pStyle w:val="af9"/>
        <w:rPr>
          <w:sz w:val="26"/>
          <w:szCs w:val="26"/>
        </w:rPr>
      </w:pPr>
      <w:r>
        <w:rPr>
          <w:sz w:val="26"/>
          <w:szCs w:val="26"/>
        </w:rPr>
        <w:t>Региональной службой по тарифам ХМАО-Югры</w:t>
      </w:r>
    </w:p>
    <w:p w:rsidR="00133867" w:rsidRDefault="00133867" w:rsidP="005B0CA1">
      <w:pPr>
        <w:pStyle w:val="af9"/>
      </w:pPr>
      <w:bookmarkStart w:id="0" w:name="_GoBack"/>
      <w:bookmarkEnd w:id="0"/>
    </w:p>
    <w:sectPr w:rsidR="00133867">
      <w:headerReference w:type="first" r:id="rId16"/>
      <w:footerReference w:type="first" r:id="rId17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24" w:rsidRDefault="00255924">
      <w:r>
        <w:separator/>
      </w:r>
    </w:p>
  </w:endnote>
  <w:endnote w:type="continuationSeparator" w:id="0">
    <w:p w:rsidR="00255924" w:rsidRDefault="0025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67" w:rsidRDefault="00133867">
    <w:pPr>
      <w:pStyle w:val="afc"/>
      <w:jc w:val="center"/>
    </w:pPr>
  </w:p>
  <w:p w:rsidR="00133867" w:rsidRDefault="0013386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24" w:rsidRDefault="00255924">
      <w:r>
        <w:separator/>
      </w:r>
    </w:p>
  </w:footnote>
  <w:footnote w:type="continuationSeparator" w:id="0">
    <w:p w:rsidR="00255924" w:rsidRDefault="0025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67" w:rsidRDefault="00133867">
    <w:pPr>
      <w:pStyle w:val="afa"/>
      <w:jc w:val="center"/>
    </w:pPr>
  </w:p>
  <w:p w:rsidR="00133867" w:rsidRDefault="00133867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501"/>
    <w:multiLevelType w:val="hybridMultilevel"/>
    <w:tmpl w:val="67A6A6F8"/>
    <w:lvl w:ilvl="0" w:tplc="E04A2202">
      <w:start w:val="1"/>
      <w:numFmt w:val="decimal"/>
      <w:lvlText w:val="%1."/>
      <w:lvlJc w:val="left"/>
      <w:pPr>
        <w:ind w:left="720" w:hanging="360"/>
      </w:pPr>
    </w:lvl>
    <w:lvl w:ilvl="1" w:tplc="0E923B56">
      <w:start w:val="1"/>
      <w:numFmt w:val="lowerLetter"/>
      <w:lvlText w:val="%2."/>
      <w:lvlJc w:val="left"/>
      <w:pPr>
        <w:ind w:left="1440" w:hanging="360"/>
      </w:pPr>
    </w:lvl>
    <w:lvl w:ilvl="2" w:tplc="A59836EA">
      <w:start w:val="1"/>
      <w:numFmt w:val="lowerRoman"/>
      <w:lvlText w:val="%3."/>
      <w:lvlJc w:val="right"/>
      <w:pPr>
        <w:ind w:left="2160" w:hanging="180"/>
      </w:pPr>
    </w:lvl>
    <w:lvl w:ilvl="3" w:tplc="39C0E196">
      <w:start w:val="1"/>
      <w:numFmt w:val="decimal"/>
      <w:lvlText w:val="%4."/>
      <w:lvlJc w:val="left"/>
      <w:pPr>
        <w:ind w:left="2880" w:hanging="360"/>
      </w:pPr>
    </w:lvl>
    <w:lvl w:ilvl="4" w:tplc="C0B0D188">
      <w:start w:val="1"/>
      <w:numFmt w:val="lowerLetter"/>
      <w:lvlText w:val="%5."/>
      <w:lvlJc w:val="left"/>
      <w:pPr>
        <w:ind w:left="3600" w:hanging="360"/>
      </w:pPr>
    </w:lvl>
    <w:lvl w:ilvl="5" w:tplc="C9765D52">
      <w:start w:val="1"/>
      <w:numFmt w:val="lowerRoman"/>
      <w:lvlText w:val="%6."/>
      <w:lvlJc w:val="right"/>
      <w:pPr>
        <w:ind w:left="4320" w:hanging="180"/>
      </w:pPr>
    </w:lvl>
    <w:lvl w:ilvl="6" w:tplc="A96AD392">
      <w:start w:val="1"/>
      <w:numFmt w:val="decimal"/>
      <w:lvlText w:val="%7."/>
      <w:lvlJc w:val="left"/>
      <w:pPr>
        <w:ind w:left="5040" w:hanging="360"/>
      </w:pPr>
    </w:lvl>
    <w:lvl w:ilvl="7" w:tplc="3B56A890">
      <w:start w:val="1"/>
      <w:numFmt w:val="lowerLetter"/>
      <w:lvlText w:val="%8."/>
      <w:lvlJc w:val="left"/>
      <w:pPr>
        <w:ind w:left="5760" w:hanging="360"/>
      </w:pPr>
    </w:lvl>
    <w:lvl w:ilvl="8" w:tplc="2D8E27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75A"/>
    <w:multiLevelType w:val="multilevel"/>
    <w:tmpl w:val="BC78ED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2" w15:restartNumberingAfterBreak="0">
    <w:nsid w:val="0940029A"/>
    <w:multiLevelType w:val="hybridMultilevel"/>
    <w:tmpl w:val="D5FA6B6A"/>
    <w:lvl w:ilvl="0" w:tplc="3AE4BC0C">
      <w:start w:val="1"/>
      <w:numFmt w:val="decimal"/>
      <w:lvlText w:val="%1."/>
      <w:lvlJc w:val="left"/>
      <w:pPr>
        <w:ind w:left="1428" w:hanging="360"/>
      </w:pPr>
    </w:lvl>
    <w:lvl w:ilvl="1" w:tplc="D096C492">
      <w:start w:val="1"/>
      <w:numFmt w:val="lowerLetter"/>
      <w:lvlText w:val="%2."/>
      <w:lvlJc w:val="left"/>
      <w:pPr>
        <w:ind w:left="2148" w:hanging="360"/>
      </w:pPr>
    </w:lvl>
    <w:lvl w:ilvl="2" w:tplc="A86A9F3C">
      <w:start w:val="1"/>
      <w:numFmt w:val="lowerRoman"/>
      <w:lvlText w:val="%3."/>
      <w:lvlJc w:val="right"/>
      <w:pPr>
        <w:ind w:left="2868" w:hanging="180"/>
      </w:pPr>
    </w:lvl>
    <w:lvl w:ilvl="3" w:tplc="721E6E50">
      <w:start w:val="1"/>
      <w:numFmt w:val="decimal"/>
      <w:lvlText w:val="%4."/>
      <w:lvlJc w:val="left"/>
      <w:pPr>
        <w:ind w:left="3588" w:hanging="360"/>
      </w:pPr>
    </w:lvl>
    <w:lvl w:ilvl="4" w:tplc="5D5E62A8">
      <w:start w:val="1"/>
      <w:numFmt w:val="lowerLetter"/>
      <w:lvlText w:val="%5."/>
      <w:lvlJc w:val="left"/>
      <w:pPr>
        <w:ind w:left="4308" w:hanging="360"/>
      </w:pPr>
    </w:lvl>
    <w:lvl w:ilvl="5" w:tplc="3844F808">
      <w:start w:val="1"/>
      <w:numFmt w:val="lowerRoman"/>
      <w:lvlText w:val="%6."/>
      <w:lvlJc w:val="right"/>
      <w:pPr>
        <w:ind w:left="5028" w:hanging="180"/>
      </w:pPr>
    </w:lvl>
    <w:lvl w:ilvl="6" w:tplc="CF04679C">
      <w:start w:val="1"/>
      <w:numFmt w:val="decimal"/>
      <w:lvlText w:val="%7."/>
      <w:lvlJc w:val="left"/>
      <w:pPr>
        <w:ind w:left="5748" w:hanging="360"/>
      </w:pPr>
    </w:lvl>
    <w:lvl w:ilvl="7" w:tplc="3D5A03EE">
      <w:start w:val="1"/>
      <w:numFmt w:val="lowerLetter"/>
      <w:lvlText w:val="%8."/>
      <w:lvlJc w:val="left"/>
      <w:pPr>
        <w:ind w:left="6468" w:hanging="360"/>
      </w:pPr>
    </w:lvl>
    <w:lvl w:ilvl="8" w:tplc="3C34EA32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CA26BC"/>
    <w:multiLevelType w:val="hybridMultilevel"/>
    <w:tmpl w:val="6A8AA210"/>
    <w:lvl w:ilvl="0" w:tplc="E3DCF8D2">
      <w:start w:val="1"/>
      <w:numFmt w:val="decimal"/>
      <w:lvlText w:val="%1."/>
      <w:lvlJc w:val="left"/>
      <w:pPr>
        <w:ind w:left="720" w:hanging="360"/>
      </w:pPr>
    </w:lvl>
    <w:lvl w:ilvl="1" w:tplc="3CF842CC">
      <w:start w:val="1"/>
      <w:numFmt w:val="lowerLetter"/>
      <w:lvlText w:val="%2."/>
      <w:lvlJc w:val="left"/>
      <w:pPr>
        <w:ind w:left="1440" w:hanging="360"/>
      </w:pPr>
    </w:lvl>
    <w:lvl w:ilvl="2" w:tplc="E48EC780">
      <w:start w:val="1"/>
      <w:numFmt w:val="lowerRoman"/>
      <w:lvlText w:val="%3."/>
      <w:lvlJc w:val="right"/>
      <w:pPr>
        <w:ind w:left="2160" w:hanging="180"/>
      </w:pPr>
    </w:lvl>
    <w:lvl w:ilvl="3" w:tplc="04EC292A">
      <w:start w:val="1"/>
      <w:numFmt w:val="decimal"/>
      <w:lvlText w:val="%4."/>
      <w:lvlJc w:val="left"/>
      <w:pPr>
        <w:ind w:left="2880" w:hanging="360"/>
      </w:pPr>
    </w:lvl>
    <w:lvl w:ilvl="4" w:tplc="8E1C7128">
      <w:start w:val="1"/>
      <w:numFmt w:val="lowerLetter"/>
      <w:lvlText w:val="%5."/>
      <w:lvlJc w:val="left"/>
      <w:pPr>
        <w:ind w:left="3600" w:hanging="360"/>
      </w:pPr>
    </w:lvl>
    <w:lvl w:ilvl="5" w:tplc="A1D8597A">
      <w:start w:val="1"/>
      <w:numFmt w:val="lowerRoman"/>
      <w:lvlText w:val="%6."/>
      <w:lvlJc w:val="right"/>
      <w:pPr>
        <w:ind w:left="4320" w:hanging="180"/>
      </w:pPr>
    </w:lvl>
    <w:lvl w:ilvl="6" w:tplc="32647C4E">
      <w:start w:val="1"/>
      <w:numFmt w:val="decimal"/>
      <w:lvlText w:val="%7."/>
      <w:lvlJc w:val="left"/>
      <w:pPr>
        <w:ind w:left="5040" w:hanging="360"/>
      </w:pPr>
    </w:lvl>
    <w:lvl w:ilvl="7" w:tplc="57D4E472">
      <w:start w:val="1"/>
      <w:numFmt w:val="lowerLetter"/>
      <w:lvlText w:val="%8."/>
      <w:lvlJc w:val="left"/>
      <w:pPr>
        <w:ind w:left="5760" w:hanging="360"/>
      </w:pPr>
    </w:lvl>
    <w:lvl w:ilvl="8" w:tplc="801071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6DFD"/>
    <w:multiLevelType w:val="hybridMultilevel"/>
    <w:tmpl w:val="B43A824C"/>
    <w:lvl w:ilvl="0" w:tplc="05422E3A">
      <w:start w:val="1"/>
      <w:numFmt w:val="decimal"/>
      <w:lvlText w:val="%1."/>
      <w:lvlJc w:val="left"/>
      <w:pPr>
        <w:ind w:left="360" w:hanging="360"/>
      </w:pPr>
    </w:lvl>
    <w:lvl w:ilvl="1" w:tplc="C0D684F2">
      <w:start w:val="1"/>
      <w:numFmt w:val="lowerLetter"/>
      <w:lvlText w:val="%2."/>
      <w:lvlJc w:val="left"/>
      <w:pPr>
        <w:ind w:left="1080" w:hanging="360"/>
      </w:pPr>
    </w:lvl>
    <w:lvl w:ilvl="2" w:tplc="C2002210">
      <w:start w:val="1"/>
      <w:numFmt w:val="lowerRoman"/>
      <w:lvlText w:val="%3."/>
      <w:lvlJc w:val="right"/>
      <w:pPr>
        <w:ind w:left="1800" w:hanging="180"/>
      </w:pPr>
    </w:lvl>
    <w:lvl w:ilvl="3" w:tplc="3716C448">
      <w:start w:val="1"/>
      <w:numFmt w:val="decimal"/>
      <w:lvlText w:val="%4."/>
      <w:lvlJc w:val="left"/>
      <w:pPr>
        <w:ind w:left="2520" w:hanging="360"/>
      </w:pPr>
    </w:lvl>
    <w:lvl w:ilvl="4" w:tplc="BB286B46">
      <w:start w:val="1"/>
      <w:numFmt w:val="lowerLetter"/>
      <w:lvlText w:val="%5."/>
      <w:lvlJc w:val="left"/>
      <w:pPr>
        <w:ind w:left="3240" w:hanging="360"/>
      </w:pPr>
    </w:lvl>
    <w:lvl w:ilvl="5" w:tplc="DE7CB65A">
      <w:start w:val="1"/>
      <w:numFmt w:val="lowerRoman"/>
      <w:lvlText w:val="%6."/>
      <w:lvlJc w:val="right"/>
      <w:pPr>
        <w:ind w:left="3960" w:hanging="180"/>
      </w:pPr>
    </w:lvl>
    <w:lvl w:ilvl="6" w:tplc="3E78D6BE">
      <w:start w:val="1"/>
      <w:numFmt w:val="decimal"/>
      <w:lvlText w:val="%7."/>
      <w:lvlJc w:val="left"/>
      <w:pPr>
        <w:ind w:left="4680" w:hanging="360"/>
      </w:pPr>
    </w:lvl>
    <w:lvl w:ilvl="7" w:tplc="D7EAE6D4">
      <w:start w:val="1"/>
      <w:numFmt w:val="lowerLetter"/>
      <w:lvlText w:val="%8."/>
      <w:lvlJc w:val="left"/>
      <w:pPr>
        <w:ind w:left="5400" w:hanging="360"/>
      </w:pPr>
    </w:lvl>
    <w:lvl w:ilvl="8" w:tplc="0F2EBED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32A26"/>
    <w:multiLevelType w:val="hybridMultilevel"/>
    <w:tmpl w:val="61B8564E"/>
    <w:lvl w:ilvl="0" w:tplc="5F303D44">
      <w:start w:val="1"/>
      <w:numFmt w:val="decimal"/>
      <w:lvlText w:val="%1."/>
      <w:lvlJc w:val="left"/>
      <w:pPr>
        <w:ind w:left="1260" w:hanging="360"/>
      </w:pPr>
    </w:lvl>
    <w:lvl w:ilvl="1" w:tplc="CAA6B996">
      <w:start w:val="1"/>
      <w:numFmt w:val="lowerLetter"/>
      <w:lvlText w:val="%2."/>
      <w:lvlJc w:val="left"/>
      <w:pPr>
        <w:ind w:left="1980" w:hanging="360"/>
      </w:pPr>
    </w:lvl>
    <w:lvl w:ilvl="2" w:tplc="41A4884C">
      <w:start w:val="1"/>
      <w:numFmt w:val="lowerRoman"/>
      <w:lvlText w:val="%3."/>
      <w:lvlJc w:val="right"/>
      <w:pPr>
        <w:ind w:left="2700" w:hanging="180"/>
      </w:pPr>
    </w:lvl>
    <w:lvl w:ilvl="3" w:tplc="5C36192A">
      <w:start w:val="1"/>
      <w:numFmt w:val="decimal"/>
      <w:lvlText w:val="%4."/>
      <w:lvlJc w:val="left"/>
      <w:pPr>
        <w:ind w:left="3420" w:hanging="360"/>
      </w:pPr>
    </w:lvl>
    <w:lvl w:ilvl="4" w:tplc="AC4C6328">
      <w:start w:val="1"/>
      <w:numFmt w:val="lowerLetter"/>
      <w:lvlText w:val="%5."/>
      <w:lvlJc w:val="left"/>
      <w:pPr>
        <w:ind w:left="4140" w:hanging="360"/>
      </w:pPr>
    </w:lvl>
    <w:lvl w:ilvl="5" w:tplc="67268180">
      <w:start w:val="1"/>
      <w:numFmt w:val="lowerRoman"/>
      <w:lvlText w:val="%6."/>
      <w:lvlJc w:val="right"/>
      <w:pPr>
        <w:ind w:left="4860" w:hanging="180"/>
      </w:pPr>
    </w:lvl>
    <w:lvl w:ilvl="6" w:tplc="9C4EC154">
      <w:start w:val="1"/>
      <w:numFmt w:val="decimal"/>
      <w:lvlText w:val="%7."/>
      <w:lvlJc w:val="left"/>
      <w:pPr>
        <w:ind w:left="5580" w:hanging="360"/>
      </w:pPr>
    </w:lvl>
    <w:lvl w:ilvl="7" w:tplc="700CEF0C">
      <w:start w:val="1"/>
      <w:numFmt w:val="lowerLetter"/>
      <w:lvlText w:val="%8."/>
      <w:lvlJc w:val="left"/>
      <w:pPr>
        <w:ind w:left="6300" w:hanging="360"/>
      </w:pPr>
    </w:lvl>
    <w:lvl w:ilvl="8" w:tplc="5F6E71B4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80270CD"/>
    <w:multiLevelType w:val="hybridMultilevel"/>
    <w:tmpl w:val="5AE6BE6C"/>
    <w:lvl w:ilvl="0" w:tplc="A4BC6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12F9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C024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C84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2632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5A73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4E8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A42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BA83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140D19"/>
    <w:multiLevelType w:val="hybridMultilevel"/>
    <w:tmpl w:val="7612174E"/>
    <w:lvl w:ilvl="0" w:tplc="68423F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ED8B8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0E7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E3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048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E5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CE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86F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FAC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B73F6"/>
    <w:multiLevelType w:val="hybridMultilevel"/>
    <w:tmpl w:val="0D8C196A"/>
    <w:lvl w:ilvl="0" w:tplc="3A2E83D8">
      <w:start w:val="1"/>
      <w:numFmt w:val="decimal"/>
      <w:lvlText w:val="%1."/>
      <w:lvlJc w:val="left"/>
      <w:pPr>
        <w:ind w:left="720" w:hanging="360"/>
      </w:pPr>
    </w:lvl>
    <w:lvl w:ilvl="1" w:tplc="5DB45080">
      <w:start w:val="1"/>
      <w:numFmt w:val="lowerLetter"/>
      <w:lvlText w:val="%2."/>
      <w:lvlJc w:val="left"/>
      <w:pPr>
        <w:ind w:left="1440" w:hanging="360"/>
      </w:pPr>
    </w:lvl>
    <w:lvl w:ilvl="2" w:tplc="B1AC8EC4">
      <w:start w:val="1"/>
      <w:numFmt w:val="lowerRoman"/>
      <w:lvlText w:val="%3."/>
      <w:lvlJc w:val="right"/>
      <w:pPr>
        <w:ind w:left="2160" w:hanging="180"/>
      </w:pPr>
    </w:lvl>
    <w:lvl w:ilvl="3" w:tplc="5782807C">
      <w:start w:val="1"/>
      <w:numFmt w:val="decimal"/>
      <w:lvlText w:val="%4."/>
      <w:lvlJc w:val="left"/>
      <w:pPr>
        <w:ind w:left="2880" w:hanging="360"/>
      </w:pPr>
    </w:lvl>
    <w:lvl w:ilvl="4" w:tplc="A210E24C">
      <w:start w:val="1"/>
      <w:numFmt w:val="lowerLetter"/>
      <w:lvlText w:val="%5."/>
      <w:lvlJc w:val="left"/>
      <w:pPr>
        <w:ind w:left="3600" w:hanging="360"/>
      </w:pPr>
    </w:lvl>
    <w:lvl w:ilvl="5" w:tplc="2E98CF5A">
      <w:start w:val="1"/>
      <w:numFmt w:val="lowerRoman"/>
      <w:lvlText w:val="%6."/>
      <w:lvlJc w:val="right"/>
      <w:pPr>
        <w:ind w:left="4320" w:hanging="180"/>
      </w:pPr>
    </w:lvl>
    <w:lvl w:ilvl="6" w:tplc="66704DD4">
      <w:start w:val="1"/>
      <w:numFmt w:val="decimal"/>
      <w:lvlText w:val="%7."/>
      <w:lvlJc w:val="left"/>
      <w:pPr>
        <w:ind w:left="5040" w:hanging="360"/>
      </w:pPr>
    </w:lvl>
    <w:lvl w:ilvl="7" w:tplc="1D3A989A">
      <w:start w:val="1"/>
      <w:numFmt w:val="lowerLetter"/>
      <w:lvlText w:val="%8."/>
      <w:lvlJc w:val="left"/>
      <w:pPr>
        <w:ind w:left="5760" w:hanging="360"/>
      </w:pPr>
    </w:lvl>
    <w:lvl w:ilvl="8" w:tplc="C66497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64FF0"/>
    <w:multiLevelType w:val="multilevel"/>
    <w:tmpl w:val="B06E18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67"/>
    <w:rsid w:val="00133867"/>
    <w:rsid w:val="00255924"/>
    <w:rsid w:val="005B0CA1"/>
    <w:rsid w:val="00C63B30"/>
    <w:rsid w:val="00CA58AE"/>
    <w:rsid w:val="00F368D8"/>
    <w:rsid w:val="00F5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848DD-F729-4AAF-A890-74AD7BAF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4"/>
    <w:qFormat/>
    <w:pPr>
      <w:jc w:val="center"/>
    </w:pPr>
    <w:rPr>
      <w:sz w:val="28"/>
      <w:szCs w:val="20"/>
    </w:rPr>
  </w:style>
  <w:style w:type="character" w:customStyle="1" w:styleId="af4">
    <w:name w:val="Название Знак"/>
    <w:link w:val="13"/>
    <w:rPr>
      <w:sz w:val="28"/>
    </w:rPr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rPr>
      <w:sz w:val="24"/>
      <w:szCs w:val="24"/>
    </w:rPr>
  </w:style>
  <w:style w:type="character" w:customStyle="1" w:styleId="25">
    <w:name w:val="Основной текст (2)_"/>
    <w:link w:val="26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o.ru/dokumenty/pravovye-akty-gubernatora/postanovleniya/10877131/" TargetMode="External"/><Relationship Id="rId13" Type="http://schemas.openxmlformats.org/officeDocument/2006/relationships/hyperlink" Target="http://www.jsn.admhma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c.admtyumen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ugra-ecology.ru/calculat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pprom.admhmao.ru/" TargetMode="External"/><Relationship Id="rId10" Type="http://schemas.openxmlformats.org/officeDocument/2006/relationships/hyperlink" Target="https://rst.admhmao.ru/dokument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ptr.eias.admhmao.ru/TariffDecisions?reg=RU.5.86" TargetMode="External"/><Relationship Id="rId14" Type="http://schemas.openxmlformats.org/officeDocument/2006/relationships/hyperlink" Target="https://ds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DA25-6FB0-4F14-BB92-E3D37F6F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Ларина Ирина Викторовна</cp:lastModifiedBy>
  <cp:revision>5</cp:revision>
  <dcterms:created xsi:type="dcterms:W3CDTF">2025-01-29T09:30:00Z</dcterms:created>
  <dcterms:modified xsi:type="dcterms:W3CDTF">2025-01-29T09:34:00Z</dcterms:modified>
</cp:coreProperties>
</file>