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E2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E2318F">
              <w:rPr>
                <w:sz w:val="28"/>
                <w:szCs w:val="28"/>
              </w:rPr>
              <w:t>09.09.2019 №99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E2318F">
              <w:rPr>
                <w:sz w:val="28"/>
                <w:szCs w:val="28"/>
              </w:rPr>
              <w:t>сведений из реестра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E2318F">
        <w:rPr>
          <w:bCs/>
          <w:iCs/>
          <w:sz w:val="28"/>
          <w:lang w:eastAsia="ar-SA"/>
        </w:rPr>
        <w:t>09.09.2019 №99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E2318F">
        <w:rPr>
          <w:bCs/>
          <w:iCs/>
          <w:sz w:val="28"/>
          <w:lang w:eastAsia="ar-SA"/>
        </w:rPr>
        <w:t>сведений из реестра муниципального имущества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E2318F">
        <w:rPr>
          <w:bCs/>
          <w:iCs/>
          <w:sz w:val="28"/>
          <w:lang w:eastAsia="ar-SA"/>
        </w:rPr>
        <w:t>пункт 16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2020-11-18T05:27:00Z</cp:lastPrinted>
  <dcterms:created xsi:type="dcterms:W3CDTF">2020-03-17T03:55:00Z</dcterms:created>
  <dcterms:modified xsi:type="dcterms:W3CDTF">2021-03-18T06:50:00Z</dcterms:modified>
</cp:coreProperties>
</file>